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376" w:rsidRPr="00B76376" w:rsidRDefault="00B76376" w:rsidP="00B763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0" w:name="_GoBack"/>
      <w:r w:rsidRPr="00B76376">
        <w:rPr>
          <w:rFonts w:ascii="Times New Roman" w:eastAsia="Times New Roman" w:hAnsi="Times New Roman" w:cs="Times New Roman"/>
          <w:caps/>
          <w:color w:val="212529"/>
          <w:sz w:val="24"/>
          <w:szCs w:val="24"/>
          <w:lang w:eastAsia="ru-RU"/>
        </w:rPr>
        <w:t>РЕШЕНИЕ ВИТЕБСКОГО РАЙОННОГО ИСПОЛНИТЕЛЬНОГО КОМИТЕТА</w:t>
      </w:r>
    </w:p>
    <w:p w:rsidR="00B76376" w:rsidRPr="00B76376" w:rsidRDefault="00B76376" w:rsidP="00B763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15 апреля 2024 г. № 766</w:t>
      </w:r>
    </w:p>
    <w:p w:rsidR="00B76376" w:rsidRPr="00B76376" w:rsidRDefault="00B76376" w:rsidP="00B76376">
      <w:pPr>
        <w:shd w:val="clear" w:color="auto" w:fill="FFFFFF"/>
        <w:spacing w:before="240" w:after="240" w:line="240" w:lineRule="auto"/>
        <w:ind w:right="2268"/>
        <w:rPr>
          <w:rFonts w:ascii="Times New Roman" w:eastAsia="Times New Roman" w:hAnsi="Times New Roman" w:cs="Times New Roman"/>
          <w:b/>
          <w:bCs/>
          <w:color w:val="212529"/>
          <w:sz w:val="34"/>
          <w:szCs w:val="34"/>
          <w:lang w:eastAsia="ru-RU"/>
        </w:rPr>
      </w:pPr>
      <w:r w:rsidRPr="00B76376">
        <w:rPr>
          <w:rFonts w:ascii="Times New Roman" w:eastAsia="Times New Roman" w:hAnsi="Times New Roman" w:cs="Times New Roman"/>
          <w:b/>
          <w:bCs/>
          <w:color w:val="212529"/>
          <w:sz w:val="34"/>
          <w:szCs w:val="34"/>
          <w:lang w:eastAsia="ru-RU"/>
        </w:rPr>
        <w:t>Об определении мест пользования поверхностными водными объектами для рекреации, спорта и туризма</w:t>
      </w:r>
    </w:p>
    <w:bookmarkEnd w:id="0"/>
    <w:p w:rsidR="00B76376" w:rsidRPr="00B76376" w:rsidRDefault="00B76376" w:rsidP="00B763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 основании </w:t>
      </w:r>
      <w:hyperlink r:id="rId4" w:anchor="&amp;Article=13&amp;Point=2&amp;UnderPoint=2.4" w:history="1">
        <w:r w:rsidRPr="00B76376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подпункта 2.4</w:t>
        </w:r>
      </w:hyperlink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пункта 2 статьи 13, </w:t>
      </w:r>
      <w:hyperlink r:id="rId5" w:anchor="&amp;Article=29&amp;Point=2" w:history="1">
        <w:r w:rsidRPr="00B76376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пункта 2</w:t>
        </w:r>
      </w:hyperlink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статьи 29, </w:t>
      </w:r>
      <w:hyperlink r:id="rId6" w:anchor="&amp;Article=44&amp;Point=3" w:history="1">
        <w:r w:rsidRPr="00B76376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пункта 3</w:t>
        </w:r>
      </w:hyperlink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статьи 44 Водного кодекса Республики Беларусь, абзаца третьего пункта 3, абзаца второго </w:t>
      </w:r>
      <w:hyperlink r:id="rId7" w:anchor="%D0%97%D0%B0%D0%B3_%D0%A3%D1%82%D0%B2_1&amp;Point=19" w:history="1">
        <w:r w:rsidRPr="00B76376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пункта 19</w:t>
        </w:r>
      </w:hyperlink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Правил охраны жизни людей на водах, утвержденных постановлением Совета Министров Республики Беларусь от 18 августа 2023 г. № 543, Витебский районный исполнительный комитет РЕШИЛ:</w:t>
      </w:r>
    </w:p>
    <w:p w:rsidR="00B76376" w:rsidRPr="00B76376" w:rsidRDefault="00B76376" w:rsidP="00B763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 Определить местами пользования поверхностными водными объектами для рекреации, спорта и туризма на территории Витебского района:</w:t>
      </w:r>
    </w:p>
    <w:p w:rsidR="00B76376" w:rsidRPr="00B76376" w:rsidRDefault="00B76376" w:rsidP="00B763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1.1. территорию в границах пляжа озера </w:t>
      </w:r>
      <w:proofErr w:type="spellStart"/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Сосно</w:t>
      </w:r>
      <w:proofErr w:type="spellEnd"/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расположенного в деревне Должа </w:t>
      </w:r>
      <w:proofErr w:type="spellStart"/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Мазоловского</w:t>
      </w:r>
      <w:proofErr w:type="spellEnd"/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сельсовета;</w:t>
      </w:r>
    </w:p>
    <w:p w:rsidR="00B76376" w:rsidRPr="00B76376" w:rsidRDefault="00B76376" w:rsidP="00B763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1.2. территорию в границах пляжа озера </w:t>
      </w:r>
      <w:proofErr w:type="spellStart"/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Полонское</w:t>
      </w:r>
      <w:proofErr w:type="spellEnd"/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расположенного в </w:t>
      </w:r>
      <w:proofErr w:type="spellStart"/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агрогородке</w:t>
      </w:r>
      <w:proofErr w:type="spellEnd"/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Вороны </w:t>
      </w:r>
      <w:proofErr w:type="spellStart"/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Вороновского</w:t>
      </w:r>
      <w:proofErr w:type="spellEnd"/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сельсовета;</w:t>
      </w:r>
    </w:p>
    <w:p w:rsidR="00B76376" w:rsidRPr="00B76376" w:rsidRDefault="00B76376" w:rsidP="00B763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1.3. территорию в границах пляжа озера </w:t>
      </w:r>
      <w:proofErr w:type="spellStart"/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Туловское</w:t>
      </w:r>
      <w:proofErr w:type="spellEnd"/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расположенного в </w:t>
      </w:r>
      <w:proofErr w:type="spellStart"/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агрогородке</w:t>
      </w:r>
      <w:proofErr w:type="spellEnd"/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Тулово </w:t>
      </w:r>
      <w:proofErr w:type="spellStart"/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Туловского</w:t>
      </w:r>
      <w:proofErr w:type="spellEnd"/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сельсовета;</w:t>
      </w:r>
    </w:p>
    <w:p w:rsidR="00B76376" w:rsidRPr="00B76376" w:rsidRDefault="00B76376" w:rsidP="00B763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1.4. территорию в границах пляжа озера </w:t>
      </w:r>
      <w:proofErr w:type="spellStart"/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Городно</w:t>
      </w:r>
      <w:proofErr w:type="spellEnd"/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расположенного в деревне Сосновка </w:t>
      </w:r>
      <w:proofErr w:type="spellStart"/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Новкинского</w:t>
      </w:r>
      <w:proofErr w:type="spellEnd"/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сельсовета.</w:t>
      </w:r>
    </w:p>
    <w:p w:rsidR="00B76376" w:rsidRPr="00B76376" w:rsidRDefault="00B76376" w:rsidP="00B763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2. Запретить купание на акватории пруда Светлый </w:t>
      </w:r>
      <w:proofErr w:type="spellStart"/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Бабиничского</w:t>
      </w:r>
      <w:proofErr w:type="spellEnd"/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сельсовета, пруда </w:t>
      </w:r>
      <w:proofErr w:type="spellStart"/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Лучиновка</w:t>
      </w:r>
      <w:proofErr w:type="spellEnd"/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Вороновского</w:t>
      </w:r>
      <w:proofErr w:type="spellEnd"/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сельсовета, пруда </w:t>
      </w:r>
      <w:proofErr w:type="spellStart"/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Запрудье</w:t>
      </w:r>
      <w:proofErr w:type="spellEnd"/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Летчанского</w:t>
      </w:r>
      <w:proofErr w:type="spellEnd"/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сельсовета, участке реки Западная Двина вблизи Витебской гидроэлектростанции Республиканского унитарного предприятия электроэнергетики «</w:t>
      </w:r>
      <w:proofErr w:type="spellStart"/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Витебскэнерго</w:t>
      </w:r>
      <w:proofErr w:type="spellEnd"/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», на противопожарных водоемах, обводненных карьерах, прудах-</w:t>
      </w:r>
      <w:proofErr w:type="spellStart"/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копанях</w:t>
      </w:r>
      <w:proofErr w:type="spellEnd"/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каналах мелиоративных систем, технологических водных объектах, местах нахождения портов, плотин, дамб, мостов, шлюзов, иных гидротехнических сооружений и устройств, расположенных на территории Витебского района.</w:t>
      </w:r>
    </w:p>
    <w:p w:rsidR="00B76376" w:rsidRPr="00B76376" w:rsidRDefault="00B76376" w:rsidP="00B763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 Запретить использование катеров, гидроциклов и иных маломерных судов с подвесными двигателями на территории акваторий пляжей водных объектов, указанных в </w:t>
      </w:r>
      <w:hyperlink r:id="rId8" w:anchor="&amp;Point=1" w:history="1">
        <w:r w:rsidRPr="00B76376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пункте 1</w:t>
        </w:r>
      </w:hyperlink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настоящего решения, за исключением маломерных судов, предназначенных для проведения аварийно-спасательных, спасательных и поисковых работ на водах, а также принадлежащих органам, осуществляющим контроль за безопасностью судоходства маломерных судов и их эксплуатацией.</w:t>
      </w:r>
    </w:p>
    <w:p w:rsidR="00B76376" w:rsidRPr="00B76376" w:rsidRDefault="00B76376" w:rsidP="00B763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 Признать утратившим силу </w:t>
      </w:r>
      <w:hyperlink r:id="rId9" w:history="1">
        <w:r w:rsidRPr="00B76376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решение Витебского районного исполнительного комитета от 14 апреля 2023 г. № 684</w:t>
        </w:r>
      </w:hyperlink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«Об определении мест пользования поверхностными водными объектами для рекреации, спорта и туризма».</w:t>
      </w:r>
    </w:p>
    <w:p w:rsidR="00B76376" w:rsidRPr="00B76376" w:rsidRDefault="00B76376" w:rsidP="00B763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 Обнародовать (опубликовать) настоящее решение в газете «</w:t>
      </w:r>
      <w:proofErr w:type="spellStart"/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Витьбичи</w:t>
      </w:r>
      <w:proofErr w:type="spellEnd"/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 и на официальном сайте Витебского районного исполнительного комитета.</w:t>
      </w:r>
    </w:p>
    <w:p w:rsidR="00B76376" w:rsidRPr="00B76376" w:rsidRDefault="00B76376" w:rsidP="00B763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 Контроль за выполнением настоящего решения возложить на заместителей председателя Витебского районного исполнительного комитета по направлению деятельности, Витебскую городскую и районную инспекцию природных ресурсов и охраны окружающей среды.</w:t>
      </w:r>
    </w:p>
    <w:p w:rsidR="00B76376" w:rsidRPr="00B76376" w:rsidRDefault="00B76376" w:rsidP="00B763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 Настоящее решение вступает в силу после его официального опубликования.</w:t>
      </w:r>
    </w:p>
    <w:p w:rsidR="00B76376" w:rsidRPr="00B76376" w:rsidRDefault="00B76376" w:rsidP="00B763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15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  <w:gridCol w:w="7650"/>
      </w:tblGrid>
      <w:tr w:rsidR="00B76376" w:rsidRPr="00B76376" w:rsidTr="00B76376"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76376" w:rsidRPr="00B76376" w:rsidRDefault="00B76376" w:rsidP="00B76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B76376">
              <w:rPr>
                <w:rFonts w:ascii="Times New Roman" w:eastAsia="Times New Roman" w:hAnsi="Times New Roman" w:cs="Times New Roman"/>
                <w:b/>
                <w:bCs/>
                <w:color w:val="212529"/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76376" w:rsidRPr="00B76376" w:rsidRDefault="00B76376" w:rsidP="00B76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B76376">
              <w:rPr>
                <w:rFonts w:ascii="Times New Roman" w:eastAsia="Times New Roman" w:hAnsi="Times New Roman" w:cs="Times New Roman"/>
                <w:b/>
                <w:bCs/>
                <w:color w:val="212529"/>
                <w:sz w:val="26"/>
                <w:szCs w:val="26"/>
                <w:lang w:eastAsia="ru-RU"/>
              </w:rPr>
              <w:t>С.В.Егоров</w:t>
            </w:r>
            <w:proofErr w:type="spellEnd"/>
          </w:p>
        </w:tc>
      </w:tr>
    </w:tbl>
    <w:p w:rsidR="00B76376" w:rsidRPr="00B76376" w:rsidRDefault="00B76376" w:rsidP="00B763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B76376" w:rsidRPr="00B76376" w:rsidRDefault="00B76376" w:rsidP="00B76376">
      <w:pPr>
        <w:shd w:val="clear" w:color="auto" w:fill="FFFFFF"/>
        <w:spacing w:after="28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B7637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СОГЛАСОВАНО</w:t>
      </w:r>
    </w:p>
    <w:p w:rsidR="00B76376" w:rsidRPr="00B76376" w:rsidRDefault="00B76376" w:rsidP="00B76376">
      <w:pPr>
        <w:shd w:val="clear" w:color="auto" w:fill="FFFFFF"/>
        <w:spacing w:after="28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B7637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Витебская городская и районная</w:t>
      </w:r>
      <w:r w:rsidRPr="00B7637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br/>
        <w:t>инспекция природных ресурсов</w:t>
      </w:r>
      <w:r w:rsidRPr="00B7637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br/>
        <w:t>и охраны окружающей среды</w:t>
      </w:r>
    </w:p>
    <w:p w:rsidR="00B76376" w:rsidRPr="00B76376" w:rsidRDefault="00B76376" w:rsidP="00B763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 </w:t>
      </w:r>
    </w:p>
    <w:p w:rsidR="00B76376" w:rsidRPr="00B76376" w:rsidRDefault="00B76376" w:rsidP="00B76376">
      <w:pPr>
        <w:shd w:val="clear" w:color="auto" w:fill="FFFFFF"/>
        <w:spacing w:after="28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B7637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Государственное учреждение</w:t>
      </w:r>
      <w:r w:rsidRPr="00B7637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br/>
        <w:t>Витебский районный</w:t>
      </w:r>
      <w:r w:rsidRPr="00B7637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br/>
        <w:t>физкультурно-спортивный</w:t>
      </w:r>
      <w:r w:rsidRPr="00B7637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br/>
        <w:t>клуб «Урожай»</w:t>
      </w:r>
    </w:p>
    <w:p w:rsidR="00B76376" w:rsidRPr="00B76376" w:rsidRDefault="00B76376" w:rsidP="00B763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B76376" w:rsidRPr="00B76376" w:rsidRDefault="00B76376" w:rsidP="00B76376">
      <w:pPr>
        <w:shd w:val="clear" w:color="auto" w:fill="FFFFFF"/>
        <w:spacing w:after="28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B7637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Государственное учреждение</w:t>
      </w:r>
      <w:r w:rsidRPr="00B7637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br/>
        <w:t>«Витебский зональный центр</w:t>
      </w:r>
      <w:r w:rsidRPr="00B7637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br/>
        <w:t>гигиены и эпидемиологии»</w:t>
      </w:r>
    </w:p>
    <w:p w:rsidR="00B76376" w:rsidRPr="00B76376" w:rsidRDefault="00B76376" w:rsidP="00B763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763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B76376" w:rsidRPr="00B76376" w:rsidRDefault="00B76376" w:rsidP="00B76376">
      <w:pPr>
        <w:shd w:val="clear" w:color="auto" w:fill="FFFFFF"/>
        <w:spacing w:after="28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B7637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Государственное учреждение</w:t>
      </w:r>
      <w:r w:rsidRPr="00B7637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br/>
        <w:t>«Государственная инспекция</w:t>
      </w:r>
      <w:r w:rsidRPr="00B7637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br/>
        <w:t>по маломерным судам»</w:t>
      </w:r>
    </w:p>
    <w:p w:rsidR="00236735" w:rsidRDefault="00236735"/>
    <w:sectPr w:rsidR="00236735" w:rsidSect="00B7637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76"/>
    <w:rsid w:val="00236735"/>
    <w:rsid w:val="00B7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764B7-4888-47FF-92BF-10A20EDB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B76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76376"/>
  </w:style>
  <w:style w:type="character" w:customStyle="1" w:styleId="promulgator">
    <w:name w:val="promulgator"/>
    <w:basedOn w:val="a0"/>
    <w:rsid w:val="00B76376"/>
  </w:style>
  <w:style w:type="paragraph" w:customStyle="1" w:styleId="newncpi">
    <w:name w:val="newncpi"/>
    <w:basedOn w:val="a"/>
    <w:rsid w:val="00B76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B76376"/>
  </w:style>
  <w:style w:type="character" w:customStyle="1" w:styleId="number">
    <w:name w:val="number"/>
    <w:basedOn w:val="a0"/>
    <w:rsid w:val="00B76376"/>
  </w:style>
  <w:style w:type="paragraph" w:customStyle="1" w:styleId="titlencpi">
    <w:name w:val="titlencpi"/>
    <w:basedOn w:val="a"/>
    <w:rsid w:val="00B76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B76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76376"/>
    <w:rPr>
      <w:color w:val="0000FF"/>
      <w:u w:val="single"/>
    </w:rPr>
  </w:style>
  <w:style w:type="paragraph" w:customStyle="1" w:styleId="point">
    <w:name w:val="point"/>
    <w:basedOn w:val="a"/>
    <w:rsid w:val="00B76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B76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">
    <w:name w:val="post"/>
    <w:basedOn w:val="a0"/>
    <w:rsid w:val="00B76376"/>
  </w:style>
  <w:style w:type="character" w:customStyle="1" w:styleId="pers">
    <w:name w:val="pers"/>
    <w:basedOn w:val="a0"/>
    <w:rsid w:val="00B76376"/>
  </w:style>
  <w:style w:type="paragraph" w:customStyle="1" w:styleId="agree">
    <w:name w:val="agree"/>
    <w:basedOn w:val="a"/>
    <w:rsid w:val="00B76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2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document/?regnum=r924v0131023&amp;q_id=1113277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talonline.by/webnpa/text.asp?RN=C223005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alonline.by/webnpa/text.asp?RN=Hk140014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talonline.by/webnpa/text.asp?RN=Hk140014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talonline.by/webnpa/text.asp?RN=Hk1400149" TargetMode="External"/><Relationship Id="rId9" Type="http://schemas.openxmlformats.org/officeDocument/2006/relationships/hyperlink" Target="https://etalonline.by/webnpa/text.asp?RN=R923v01241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2024-06-10T09:56:00Z</dcterms:created>
  <dcterms:modified xsi:type="dcterms:W3CDTF">2024-06-10T09:59:00Z</dcterms:modified>
</cp:coreProperties>
</file>