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56" w:rsidRPr="00660B56" w:rsidRDefault="00660B56" w:rsidP="00660B5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b/>
          <w:bCs/>
          <w:color w:val="1A1A1A"/>
          <w:sz w:val="39"/>
          <w:szCs w:val="39"/>
          <w:lang w:eastAsia="ru-RU"/>
        </w:rPr>
      </w:pPr>
      <w:r w:rsidRPr="00660B56">
        <w:rPr>
          <w:rFonts w:ascii="Arial" w:eastAsia="Times New Roman" w:hAnsi="Arial" w:cs="Arial"/>
          <w:b/>
          <w:bCs/>
          <w:color w:val="1A1A1A"/>
          <w:sz w:val="39"/>
          <w:szCs w:val="39"/>
          <w:lang w:eastAsia="ru-RU"/>
        </w:rPr>
        <w:t>О совершенствовании порядка предоставления отчетности о средствах контроля за приборами учета производства алкогольной, непищевой спиртосодержащей продукции, непищевого этил</w:t>
      </w:r>
      <w:r>
        <w:rPr>
          <w:rFonts w:ascii="Arial" w:eastAsia="Times New Roman" w:hAnsi="Arial" w:cs="Arial"/>
          <w:b/>
          <w:bCs/>
          <w:color w:val="1A1A1A"/>
          <w:sz w:val="39"/>
          <w:szCs w:val="39"/>
          <w:lang w:eastAsia="ru-RU"/>
        </w:rPr>
        <w:t>ового спирта и табачных изделий</w:t>
      </w:r>
    </w:p>
    <w:p w:rsidR="00660B56" w:rsidRPr="00660B56" w:rsidRDefault="00660B56" w:rsidP="00660B56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1A1A1A"/>
          <w:sz w:val="60"/>
          <w:szCs w:val="60"/>
          <w:lang w:eastAsia="ru-RU"/>
        </w:rPr>
      </w:pP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 Совета Министров Республики Беларусь от 3 мая 2024 г. № 333 «Об изменении постановлений Совета Министров Республики Беларусь» (далее – постановление № 333) принято в целях совершенствования порядка предоставления отчетности о средствах контроля за приборами учета производства алкогольной, непищевой спиртосодержащей продукции, непищевого этилового спирта и табачных изделий.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№ 333 вносятся изменения в 3 постановления Совета Министров Республики Беларусь: 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20 января 2005 г. № 62 «О порядке учета табачных изделий при их производстве с помощью приборов учета готовой продукции»; 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3 ноября 2005 г. № 1225 «Об утверждении Порядка использования и учета средств контроля за приборами учета алкогольной, непищевой спиртосодержащей продукции и непищевого этилового спирта»; 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11 июля 2014 г. № 667 «О некоторых вопросах введения ведомственной отчетности и внесении изменений в постановление Совета Министров Республики Беларусь от 3 ноября 2005 г. № 1225».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№ 333 предусматриваются: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отмена обязательной ведомственной отчетности для организаций, осуществляющих изготовление и использование таких средств контроля; 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представление налого</w:t>
      </w:r>
      <w:bookmarkStart w:id="0" w:name="_GoBack"/>
      <w:bookmarkEnd w:id="0"/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вым органам полномочий на осуществление разового сбора информации (при необходимости) о данных средствах контроля; 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изменения технического характера.</w:t>
      </w:r>
    </w:p>
    <w:p w:rsidR="00660B56" w:rsidRPr="00660B56" w:rsidRDefault="00660B56" w:rsidP="00660B56">
      <w:pPr>
        <w:shd w:val="clear" w:color="auto" w:fill="FAFAFA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0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 № 333 вступает в силу с 8 июня 2024 г.</w:t>
      </w:r>
    </w:p>
    <w:p w:rsidR="0033300E" w:rsidRDefault="0033300E"/>
    <w:sectPr w:rsidR="0033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56"/>
    <w:rsid w:val="0033300E"/>
    <w:rsid w:val="0066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D1A2"/>
  <w15:chartTrackingRefBased/>
  <w15:docId w15:val="{38C0B8CD-D935-4F5F-A690-4E2BA814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5">
    <w:name w:val="h5"/>
    <w:basedOn w:val="a0"/>
    <w:rsid w:val="00660B56"/>
  </w:style>
  <w:style w:type="character" w:styleId="a3">
    <w:name w:val="Hyperlink"/>
    <w:basedOn w:val="a0"/>
    <w:uiPriority w:val="99"/>
    <w:semiHidden/>
    <w:unhideWhenUsed/>
    <w:rsid w:val="00660B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8013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2024-05-21T08:03:00Z</dcterms:created>
  <dcterms:modified xsi:type="dcterms:W3CDTF">2024-05-21T08:04:00Z</dcterms:modified>
</cp:coreProperties>
</file>