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7603" w:rsidRPr="00E87603" w:rsidRDefault="00E87603">
      <w:pPr>
        <w:pStyle w:val="newncpi0"/>
        <w:jc w:val="center"/>
        <w:rPr>
          <w:sz w:val="30"/>
          <w:szCs w:val="30"/>
        </w:rPr>
      </w:pPr>
      <w:r w:rsidRPr="00E87603">
        <w:rPr>
          <w:rStyle w:val="name"/>
          <w:sz w:val="30"/>
          <w:szCs w:val="30"/>
        </w:rPr>
        <w:t>РЕШЕНИЕ </w:t>
      </w:r>
      <w:r w:rsidRPr="00E87603">
        <w:rPr>
          <w:rStyle w:val="promulgator"/>
          <w:sz w:val="30"/>
          <w:szCs w:val="30"/>
        </w:rPr>
        <w:t>ВИТЕБСКОГО РАЙОННОГО СОВЕТА ДЕПУТАТОВ</w:t>
      </w:r>
    </w:p>
    <w:p w:rsidR="00E87603" w:rsidRPr="00E87603" w:rsidRDefault="00E87603">
      <w:pPr>
        <w:pStyle w:val="newncpi"/>
        <w:ind w:firstLine="0"/>
        <w:jc w:val="center"/>
        <w:rPr>
          <w:sz w:val="30"/>
          <w:szCs w:val="30"/>
        </w:rPr>
      </w:pPr>
      <w:r w:rsidRPr="00E87603">
        <w:rPr>
          <w:rStyle w:val="datepr"/>
          <w:sz w:val="30"/>
          <w:szCs w:val="30"/>
        </w:rPr>
        <w:t>29 декабря 2015 г.</w:t>
      </w:r>
      <w:r w:rsidRPr="00E87603">
        <w:rPr>
          <w:rStyle w:val="number"/>
          <w:sz w:val="30"/>
          <w:szCs w:val="30"/>
        </w:rPr>
        <w:t xml:space="preserve"> № 87</w:t>
      </w:r>
    </w:p>
    <w:p w:rsidR="00E87603" w:rsidRPr="00E87603" w:rsidRDefault="00E87603">
      <w:pPr>
        <w:pStyle w:val="titlencpi"/>
        <w:rPr>
          <w:sz w:val="30"/>
          <w:szCs w:val="30"/>
        </w:rPr>
      </w:pPr>
      <w:r w:rsidRPr="00E87603">
        <w:rPr>
          <w:sz w:val="30"/>
          <w:szCs w:val="30"/>
        </w:rPr>
        <w:t>Об установлении на территории Витебского района местных налога и сбора и введении их в действие</w:t>
      </w:r>
    </w:p>
    <w:p w:rsidR="00E87603" w:rsidRPr="00E87603" w:rsidRDefault="00E87603">
      <w:pPr>
        <w:pStyle w:val="changei"/>
        <w:rPr>
          <w:sz w:val="22"/>
          <w:szCs w:val="22"/>
        </w:rPr>
      </w:pPr>
      <w:bookmarkStart w:id="0" w:name="_GoBack"/>
      <w:r w:rsidRPr="00E87603">
        <w:rPr>
          <w:sz w:val="22"/>
          <w:szCs w:val="22"/>
        </w:rPr>
        <w:t>Изменения и дополнения:</w:t>
      </w:r>
    </w:p>
    <w:p w:rsidR="00E87603" w:rsidRPr="00E87603" w:rsidRDefault="00E87603">
      <w:pPr>
        <w:pStyle w:val="changeadd"/>
        <w:rPr>
          <w:sz w:val="22"/>
          <w:szCs w:val="22"/>
        </w:rPr>
      </w:pPr>
      <w:r w:rsidRPr="00E87603">
        <w:rPr>
          <w:sz w:val="22"/>
          <w:szCs w:val="22"/>
        </w:rPr>
        <w:t>Решение Витебского районного Совета депутатов от 10 ноября 2016 г. № 127 (Национальный правовой Интернет-портал Республики Беларусь, 30.11.2016, 9/79843) &lt;D916v0079843&gt;;</w:t>
      </w:r>
    </w:p>
    <w:p w:rsidR="00E87603" w:rsidRPr="00E87603" w:rsidRDefault="00E87603">
      <w:pPr>
        <w:pStyle w:val="changeadd"/>
        <w:rPr>
          <w:sz w:val="22"/>
          <w:szCs w:val="22"/>
        </w:rPr>
      </w:pPr>
      <w:r w:rsidRPr="00E87603">
        <w:rPr>
          <w:sz w:val="22"/>
          <w:szCs w:val="22"/>
        </w:rPr>
        <w:t>Решение Витебского районного Совета депутатов от 29 марта 2019 г. № 55 (Национальный правовой Интернет-портал Республики Беларусь, 23.04.2019, 9/95452) &lt;D919v0095452&gt;;</w:t>
      </w:r>
    </w:p>
    <w:p w:rsidR="00E87603" w:rsidRPr="00E87603" w:rsidRDefault="00E87603">
      <w:pPr>
        <w:pStyle w:val="changeadd"/>
        <w:rPr>
          <w:sz w:val="22"/>
          <w:szCs w:val="22"/>
        </w:rPr>
      </w:pPr>
      <w:r w:rsidRPr="00E87603">
        <w:rPr>
          <w:sz w:val="22"/>
          <w:szCs w:val="22"/>
        </w:rPr>
        <w:t>Решение Витебского районного Совета депутатов от 25 января 2022 г. № 197 (Национальный правовой Интернет-портал Республики Беларусь, 22.02.2022, 9/113896) &lt;D922v0113896&gt;</w:t>
      </w:r>
    </w:p>
    <w:bookmarkEnd w:id="0"/>
    <w:p w:rsidR="00E87603" w:rsidRDefault="00E87603">
      <w:pPr>
        <w:pStyle w:val="newncpi"/>
      </w:pPr>
      <w:r>
        <w:t> </w:t>
      </w:r>
    </w:p>
    <w:p w:rsidR="00E87603" w:rsidRPr="00E87603" w:rsidRDefault="00E87603">
      <w:pPr>
        <w:pStyle w:val="preamble"/>
        <w:rPr>
          <w:sz w:val="30"/>
          <w:szCs w:val="30"/>
        </w:rPr>
      </w:pPr>
      <w:r w:rsidRPr="00E87603">
        <w:rPr>
          <w:sz w:val="30"/>
          <w:szCs w:val="30"/>
        </w:rPr>
        <w:t>На основании статьи 12 Налогового кодекса Республики Беларусь Витебский районный Совет депутатов РЕШИЛ:</w:t>
      </w:r>
    </w:p>
    <w:p w:rsidR="00E87603" w:rsidRPr="00E87603" w:rsidRDefault="00E87603">
      <w:pPr>
        <w:pStyle w:val="point"/>
        <w:rPr>
          <w:sz w:val="30"/>
          <w:szCs w:val="30"/>
        </w:rPr>
      </w:pPr>
      <w:r w:rsidRPr="00E87603">
        <w:rPr>
          <w:sz w:val="30"/>
          <w:szCs w:val="30"/>
        </w:rPr>
        <w:t>1. Установить и ввести в действие на территории Витебского района налог за владение собаками, сбор с заготовителей.</w:t>
      </w:r>
    </w:p>
    <w:p w:rsidR="00E87603" w:rsidRPr="00E87603" w:rsidRDefault="00E87603">
      <w:pPr>
        <w:pStyle w:val="point"/>
        <w:rPr>
          <w:sz w:val="30"/>
          <w:szCs w:val="30"/>
        </w:rPr>
      </w:pPr>
      <w:r w:rsidRPr="00E87603">
        <w:rPr>
          <w:sz w:val="30"/>
          <w:szCs w:val="30"/>
        </w:rPr>
        <w:t>2. Утвердить прилагаемые:</w:t>
      </w:r>
    </w:p>
    <w:p w:rsidR="00E87603" w:rsidRPr="00E87603" w:rsidRDefault="00E87603">
      <w:pPr>
        <w:pStyle w:val="newncpi"/>
        <w:rPr>
          <w:sz w:val="30"/>
          <w:szCs w:val="30"/>
        </w:rPr>
      </w:pPr>
      <w:r w:rsidRPr="00E87603">
        <w:rPr>
          <w:sz w:val="30"/>
          <w:szCs w:val="30"/>
        </w:rPr>
        <w:t>Инструкцию о налоге за владение собаками;</w:t>
      </w:r>
    </w:p>
    <w:p w:rsidR="00E87603" w:rsidRPr="00E87603" w:rsidRDefault="00E87603">
      <w:pPr>
        <w:pStyle w:val="newncpi"/>
        <w:rPr>
          <w:sz w:val="30"/>
          <w:szCs w:val="30"/>
        </w:rPr>
      </w:pPr>
      <w:r w:rsidRPr="00E87603">
        <w:rPr>
          <w:sz w:val="30"/>
          <w:szCs w:val="30"/>
        </w:rPr>
        <w:t>Инструкцию о сборе с заготовителей.</w:t>
      </w:r>
    </w:p>
    <w:p w:rsidR="00E87603" w:rsidRPr="00E87603" w:rsidRDefault="00E87603">
      <w:pPr>
        <w:pStyle w:val="point"/>
        <w:rPr>
          <w:sz w:val="30"/>
          <w:szCs w:val="30"/>
        </w:rPr>
      </w:pPr>
      <w:r w:rsidRPr="00E87603">
        <w:rPr>
          <w:sz w:val="30"/>
          <w:szCs w:val="30"/>
        </w:rPr>
        <w:t>3. Настоящее решение вступает в силу после его официального опубликования и распространяет свое действие на отношения, возникшие с 1 января 2016 г.</w:t>
      </w:r>
    </w:p>
    <w:p w:rsidR="00E87603" w:rsidRPr="00E87603" w:rsidRDefault="00E87603">
      <w:pPr>
        <w:pStyle w:val="newncpi"/>
        <w:rPr>
          <w:sz w:val="30"/>
          <w:szCs w:val="30"/>
        </w:rPr>
      </w:pPr>
      <w:r w:rsidRPr="00E87603">
        <w:rPr>
          <w:sz w:val="30"/>
          <w:szCs w:val="30"/>
        </w:rPr>
        <w:t> </w:t>
      </w:r>
    </w:p>
    <w:tbl>
      <w:tblPr>
        <w:tblW w:w="5000" w:type="pct"/>
        <w:tblCellMar>
          <w:left w:w="0" w:type="dxa"/>
          <w:right w:w="0" w:type="dxa"/>
        </w:tblCellMar>
        <w:tblLook w:val="04A0" w:firstRow="1" w:lastRow="0" w:firstColumn="1" w:lastColumn="0" w:noHBand="0" w:noVBand="1"/>
      </w:tblPr>
      <w:tblGrid>
        <w:gridCol w:w="4959"/>
        <w:gridCol w:w="4962"/>
      </w:tblGrid>
      <w:tr w:rsidR="00E87603" w:rsidRPr="00E87603">
        <w:tc>
          <w:tcPr>
            <w:tcW w:w="2499" w:type="pct"/>
            <w:tcMar>
              <w:top w:w="0" w:type="dxa"/>
              <w:left w:w="6" w:type="dxa"/>
              <w:bottom w:w="0" w:type="dxa"/>
              <w:right w:w="6" w:type="dxa"/>
            </w:tcMar>
            <w:vAlign w:val="bottom"/>
            <w:hideMark/>
          </w:tcPr>
          <w:p w:rsidR="00E87603" w:rsidRPr="00E87603" w:rsidRDefault="00E87603">
            <w:pPr>
              <w:pStyle w:val="newncpi0"/>
              <w:jc w:val="left"/>
              <w:rPr>
                <w:sz w:val="30"/>
                <w:szCs w:val="30"/>
              </w:rPr>
            </w:pPr>
            <w:r w:rsidRPr="00E87603">
              <w:rPr>
                <w:rStyle w:val="post"/>
                <w:b w:val="0"/>
                <w:sz w:val="30"/>
                <w:szCs w:val="30"/>
              </w:rPr>
              <w:t>Председатель</w:t>
            </w:r>
          </w:p>
        </w:tc>
        <w:tc>
          <w:tcPr>
            <w:tcW w:w="2501" w:type="pct"/>
            <w:tcMar>
              <w:top w:w="0" w:type="dxa"/>
              <w:left w:w="6" w:type="dxa"/>
              <w:bottom w:w="0" w:type="dxa"/>
              <w:right w:w="6" w:type="dxa"/>
            </w:tcMar>
            <w:vAlign w:val="bottom"/>
            <w:hideMark/>
          </w:tcPr>
          <w:p w:rsidR="00E87603" w:rsidRPr="00E87603" w:rsidRDefault="00E87603">
            <w:pPr>
              <w:pStyle w:val="newncpi0"/>
              <w:jc w:val="right"/>
              <w:rPr>
                <w:sz w:val="30"/>
                <w:szCs w:val="30"/>
              </w:rPr>
            </w:pPr>
            <w:proofErr w:type="spellStart"/>
            <w:r w:rsidRPr="00E87603">
              <w:rPr>
                <w:rStyle w:val="pers"/>
                <w:b w:val="0"/>
                <w:sz w:val="30"/>
                <w:szCs w:val="30"/>
              </w:rPr>
              <w:t>В.В.Станкевич</w:t>
            </w:r>
            <w:proofErr w:type="spellEnd"/>
          </w:p>
        </w:tc>
      </w:tr>
    </w:tbl>
    <w:p w:rsidR="00E87603" w:rsidRPr="00E87603" w:rsidRDefault="00E87603">
      <w:pPr>
        <w:pStyle w:val="newncpi0"/>
        <w:rPr>
          <w:sz w:val="30"/>
          <w:szCs w:val="30"/>
        </w:rPr>
      </w:pPr>
      <w:r w:rsidRPr="00E87603">
        <w:rPr>
          <w:sz w:val="30"/>
          <w:szCs w:val="30"/>
        </w:rPr>
        <w:t> </w:t>
      </w:r>
    </w:p>
    <w:tbl>
      <w:tblPr>
        <w:tblW w:w="5000" w:type="pct"/>
        <w:tblCellMar>
          <w:left w:w="0" w:type="dxa"/>
          <w:right w:w="0" w:type="dxa"/>
        </w:tblCellMar>
        <w:tblLook w:val="04A0" w:firstRow="1" w:lastRow="0" w:firstColumn="1" w:lastColumn="0" w:noHBand="0" w:noVBand="1"/>
      </w:tblPr>
      <w:tblGrid>
        <w:gridCol w:w="7441"/>
        <w:gridCol w:w="2480"/>
      </w:tblGrid>
      <w:tr w:rsidR="00E87603" w:rsidRPr="00E87603">
        <w:tc>
          <w:tcPr>
            <w:tcW w:w="3750" w:type="pct"/>
            <w:tcMar>
              <w:top w:w="0" w:type="dxa"/>
              <w:left w:w="6" w:type="dxa"/>
              <w:bottom w:w="0" w:type="dxa"/>
              <w:right w:w="6" w:type="dxa"/>
            </w:tcMar>
            <w:hideMark/>
          </w:tcPr>
          <w:p w:rsidR="00E87603" w:rsidRPr="00E87603" w:rsidRDefault="00E87603">
            <w:pPr>
              <w:pStyle w:val="newncpi"/>
              <w:rPr>
                <w:sz w:val="30"/>
                <w:szCs w:val="30"/>
              </w:rPr>
            </w:pPr>
            <w:r w:rsidRPr="00E87603">
              <w:rPr>
                <w:sz w:val="30"/>
                <w:szCs w:val="30"/>
              </w:rPr>
              <w:t> </w:t>
            </w:r>
          </w:p>
        </w:tc>
        <w:tc>
          <w:tcPr>
            <w:tcW w:w="1250" w:type="pct"/>
            <w:tcMar>
              <w:top w:w="0" w:type="dxa"/>
              <w:left w:w="6" w:type="dxa"/>
              <w:bottom w:w="0" w:type="dxa"/>
              <w:right w:w="6" w:type="dxa"/>
            </w:tcMar>
            <w:hideMark/>
          </w:tcPr>
          <w:p w:rsidR="00E87603" w:rsidRPr="00E87603" w:rsidRDefault="00E87603">
            <w:pPr>
              <w:pStyle w:val="capu1"/>
              <w:rPr>
                <w:sz w:val="30"/>
                <w:szCs w:val="30"/>
              </w:rPr>
            </w:pPr>
            <w:r w:rsidRPr="00E87603">
              <w:rPr>
                <w:sz w:val="30"/>
                <w:szCs w:val="30"/>
              </w:rPr>
              <w:t>УТВЕРЖДЕНО</w:t>
            </w:r>
          </w:p>
          <w:p w:rsidR="00E87603" w:rsidRPr="00E87603" w:rsidRDefault="00E87603">
            <w:pPr>
              <w:pStyle w:val="cap1"/>
              <w:rPr>
                <w:sz w:val="30"/>
                <w:szCs w:val="30"/>
              </w:rPr>
            </w:pPr>
            <w:r w:rsidRPr="00E87603">
              <w:rPr>
                <w:sz w:val="30"/>
                <w:szCs w:val="30"/>
              </w:rPr>
              <w:t xml:space="preserve">Решение </w:t>
            </w:r>
            <w:r w:rsidRPr="00E87603">
              <w:rPr>
                <w:sz w:val="30"/>
                <w:szCs w:val="30"/>
              </w:rPr>
              <w:br/>
              <w:t>Витебского районного</w:t>
            </w:r>
            <w:r w:rsidRPr="00E87603">
              <w:rPr>
                <w:sz w:val="30"/>
                <w:szCs w:val="30"/>
              </w:rPr>
              <w:br/>
              <w:t>Совета депутатов</w:t>
            </w:r>
          </w:p>
          <w:p w:rsidR="00E87603" w:rsidRPr="00E87603" w:rsidRDefault="00E87603">
            <w:pPr>
              <w:pStyle w:val="cap1"/>
              <w:rPr>
                <w:sz w:val="30"/>
                <w:szCs w:val="30"/>
              </w:rPr>
            </w:pPr>
            <w:r w:rsidRPr="00E87603">
              <w:rPr>
                <w:sz w:val="30"/>
                <w:szCs w:val="30"/>
              </w:rPr>
              <w:t>29.12.2015 № 87</w:t>
            </w:r>
          </w:p>
        </w:tc>
      </w:tr>
    </w:tbl>
    <w:p w:rsidR="00E87603" w:rsidRPr="00E87603" w:rsidRDefault="00E87603">
      <w:pPr>
        <w:pStyle w:val="titleu"/>
        <w:rPr>
          <w:sz w:val="30"/>
          <w:szCs w:val="30"/>
        </w:rPr>
      </w:pPr>
      <w:r w:rsidRPr="00E87603">
        <w:rPr>
          <w:sz w:val="30"/>
          <w:szCs w:val="30"/>
        </w:rPr>
        <w:t>ИНСТРУКЦИЯ</w:t>
      </w:r>
      <w:r w:rsidRPr="00E87603">
        <w:rPr>
          <w:sz w:val="30"/>
          <w:szCs w:val="30"/>
        </w:rPr>
        <w:br/>
        <w:t>о налоге за владение собаками</w:t>
      </w:r>
    </w:p>
    <w:p w:rsidR="00E87603" w:rsidRPr="00E87603" w:rsidRDefault="00E87603">
      <w:pPr>
        <w:pStyle w:val="point"/>
        <w:rPr>
          <w:sz w:val="30"/>
          <w:szCs w:val="30"/>
        </w:rPr>
      </w:pPr>
      <w:r w:rsidRPr="00E87603">
        <w:rPr>
          <w:sz w:val="30"/>
          <w:szCs w:val="30"/>
        </w:rPr>
        <w:t>1. Инструкция о налоге за владение собаками разработана в соответствии с Налоговым кодексом Республики Беларусь и определяет порядок исчисления и уплаты налога за владение собаками.</w:t>
      </w:r>
    </w:p>
    <w:p w:rsidR="00E87603" w:rsidRPr="00E87603" w:rsidRDefault="00E87603">
      <w:pPr>
        <w:pStyle w:val="point"/>
        <w:rPr>
          <w:sz w:val="30"/>
          <w:szCs w:val="30"/>
        </w:rPr>
      </w:pPr>
      <w:r w:rsidRPr="00E87603">
        <w:rPr>
          <w:sz w:val="30"/>
          <w:szCs w:val="30"/>
        </w:rPr>
        <w:t>2. Плательщиками налога за владение собаками (далее – плательщики) признаются физические лица – владельцы собак, зарегистрированные на территории Витебского района.</w:t>
      </w:r>
    </w:p>
    <w:p w:rsidR="00E87603" w:rsidRPr="00E87603" w:rsidRDefault="00E87603">
      <w:pPr>
        <w:pStyle w:val="point"/>
        <w:rPr>
          <w:sz w:val="30"/>
          <w:szCs w:val="30"/>
        </w:rPr>
      </w:pPr>
      <w:r w:rsidRPr="00E87603">
        <w:rPr>
          <w:sz w:val="30"/>
          <w:szCs w:val="30"/>
        </w:rPr>
        <w:t>3. Объектом налогообложения налогом за владение собаками признается владение собаками в возрасте 3 месяцев и старше.</w:t>
      </w:r>
    </w:p>
    <w:p w:rsidR="00E87603" w:rsidRPr="00E87603" w:rsidRDefault="00E87603">
      <w:pPr>
        <w:pStyle w:val="point"/>
        <w:rPr>
          <w:sz w:val="30"/>
          <w:szCs w:val="30"/>
        </w:rPr>
      </w:pPr>
      <w:r w:rsidRPr="00E87603">
        <w:rPr>
          <w:sz w:val="30"/>
          <w:szCs w:val="30"/>
        </w:rPr>
        <w:lastRenderedPageBreak/>
        <w:t>4. Налоговая база налога за владение собаками определяется как количество собак в возрасте 3 месяцев и старше на 1-е число первого месяца налогового периода.</w:t>
      </w:r>
    </w:p>
    <w:p w:rsidR="00E87603" w:rsidRPr="00E87603" w:rsidRDefault="00E87603">
      <w:pPr>
        <w:pStyle w:val="point"/>
        <w:rPr>
          <w:sz w:val="30"/>
          <w:szCs w:val="30"/>
        </w:rPr>
      </w:pPr>
      <w:r w:rsidRPr="00E87603">
        <w:rPr>
          <w:sz w:val="30"/>
          <w:szCs w:val="30"/>
        </w:rPr>
        <w:t>5. Ставка налога за владение собаками устанавливается в размере 9,3 белорусского рубля за налоговый период, за исключением случая, определенного частью второй настоящего пункта.</w:t>
      </w:r>
    </w:p>
    <w:p w:rsidR="00E87603" w:rsidRPr="00E87603" w:rsidRDefault="00E87603">
      <w:pPr>
        <w:pStyle w:val="newncpi"/>
        <w:rPr>
          <w:sz w:val="30"/>
          <w:szCs w:val="30"/>
        </w:rPr>
      </w:pPr>
      <w:r w:rsidRPr="00E87603">
        <w:rPr>
          <w:sz w:val="30"/>
          <w:szCs w:val="30"/>
        </w:rPr>
        <w:t>Ставка налога за владение собаками за породы собак, включенные в перечень потенциально опасных пород собак, утвержденный постановлением Министерства сельского хозяйства и продовольствия Республики Беларусь от 12 декабря 2001 г. № 40 «О некоторых вопросах разведения, содержания, ввоза в Республику Беларусь, а также обучения владельцев потенциально опасных пород собак», устанавливается в размере 46,5 белорусского рубля за налоговый период.</w:t>
      </w:r>
    </w:p>
    <w:p w:rsidR="00E87603" w:rsidRPr="00E87603" w:rsidRDefault="00E87603">
      <w:pPr>
        <w:pStyle w:val="point"/>
        <w:rPr>
          <w:sz w:val="30"/>
          <w:szCs w:val="30"/>
        </w:rPr>
      </w:pPr>
      <w:r w:rsidRPr="00E87603">
        <w:rPr>
          <w:sz w:val="30"/>
          <w:szCs w:val="30"/>
        </w:rPr>
        <w:t>6. Налоговым периодом налога за владение собаками признается календарный квартал.</w:t>
      </w:r>
    </w:p>
    <w:p w:rsidR="00E87603" w:rsidRPr="00E87603" w:rsidRDefault="00E87603">
      <w:pPr>
        <w:pStyle w:val="point"/>
        <w:rPr>
          <w:sz w:val="30"/>
          <w:szCs w:val="30"/>
        </w:rPr>
      </w:pPr>
      <w:r w:rsidRPr="00E87603">
        <w:rPr>
          <w:sz w:val="30"/>
          <w:szCs w:val="30"/>
        </w:rPr>
        <w:t>7. Сумма налога за владение собаками исчисляется как произведение налоговой базы и налоговой ставки.</w:t>
      </w:r>
    </w:p>
    <w:p w:rsidR="00E87603" w:rsidRPr="00E87603" w:rsidRDefault="00E87603">
      <w:pPr>
        <w:pStyle w:val="newncpi"/>
        <w:rPr>
          <w:sz w:val="30"/>
          <w:szCs w:val="30"/>
        </w:rPr>
      </w:pPr>
      <w:r w:rsidRPr="00E87603">
        <w:rPr>
          <w:sz w:val="30"/>
          <w:szCs w:val="30"/>
        </w:rPr>
        <w:t>При исчислении суммы налога за владение собаками принимается размер базовой величины, установленный на 1-е число первого месяца налогового периода.</w:t>
      </w:r>
    </w:p>
    <w:p w:rsidR="00E87603" w:rsidRPr="00E87603" w:rsidRDefault="00E87603">
      <w:pPr>
        <w:pStyle w:val="point"/>
        <w:rPr>
          <w:sz w:val="30"/>
          <w:szCs w:val="30"/>
        </w:rPr>
      </w:pPr>
      <w:r w:rsidRPr="00E87603">
        <w:rPr>
          <w:sz w:val="30"/>
          <w:szCs w:val="30"/>
        </w:rPr>
        <w:t>8. Уплата налога за владение собаками производится плательщиками путем внесения сумм налога организациям, осуществляющим эксплуатацию жилищного фонда и (или) предоставляющим жилищно-коммунальные услуги, одновременно с внесением платы за пользование жилым помещением (платы за жилищно-коммунальные услуги).</w:t>
      </w:r>
    </w:p>
    <w:p w:rsidR="00E87603" w:rsidRPr="00E87603" w:rsidRDefault="00E87603">
      <w:pPr>
        <w:pStyle w:val="newncpi"/>
        <w:rPr>
          <w:sz w:val="30"/>
          <w:szCs w:val="30"/>
        </w:rPr>
      </w:pPr>
      <w:r w:rsidRPr="00E87603">
        <w:rPr>
          <w:sz w:val="30"/>
          <w:szCs w:val="30"/>
        </w:rPr>
        <w:t>Организации, осуществляющие эксплуатацию жилищного фонда и (или) предоставляющие жилищно-коммунальные услуги, производят прием сумм налога за владение собаками и их перечисление в бюджет не позднее 27-го числа месяца, следующего за истекшим налоговым периодом, а также представляют в налоговый орган по месту постановки на учет информацию о перечислении налога за владение собаками в произвольной форме не позднее 30-го числа месяца, следующего за истекшим налоговым периодом.</w:t>
      </w:r>
    </w:p>
    <w:p w:rsidR="00E87603" w:rsidRPr="00E87603" w:rsidRDefault="00E87603">
      <w:pPr>
        <w:pStyle w:val="newncpi"/>
        <w:rPr>
          <w:sz w:val="30"/>
          <w:szCs w:val="30"/>
        </w:rPr>
      </w:pPr>
      <w:r w:rsidRPr="00E87603">
        <w:rPr>
          <w:sz w:val="30"/>
          <w:szCs w:val="30"/>
        </w:rPr>
        <w:t>Налоговая декларация (расчет) по налогу за владение собаками не представляется.</w:t>
      </w:r>
    </w:p>
    <w:p w:rsidR="00E87603" w:rsidRPr="00E87603" w:rsidRDefault="00E87603">
      <w:pPr>
        <w:pStyle w:val="point"/>
        <w:rPr>
          <w:sz w:val="30"/>
          <w:szCs w:val="30"/>
        </w:rPr>
      </w:pPr>
      <w:r w:rsidRPr="00E87603">
        <w:rPr>
          <w:sz w:val="30"/>
          <w:szCs w:val="30"/>
        </w:rPr>
        <w:t>9. Освобождаются от налога за владение собаками плательщики, владеющие не более чем одной собакой:</w:t>
      </w:r>
    </w:p>
    <w:p w:rsidR="00E87603" w:rsidRPr="00E87603" w:rsidRDefault="00E87603">
      <w:pPr>
        <w:pStyle w:val="newncpi"/>
        <w:rPr>
          <w:sz w:val="30"/>
          <w:szCs w:val="30"/>
        </w:rPr>
      </w:pPr>
      <w:r w:rsidRPr="00E87603">
        <w:rPr>
          <w:sz w:val="30"/>
          <w:szCs w:val="30"/>
        </w:rPr>
        <w:t>инвалиды, владеющие собакой-поводырем;</w:t>
      </w:r>
    </w:p>
    <w:p w:rsidR="00E87603" w:rsidRPr="00E87603" w:rsidRDefault="00E87603">
      <w:pPr>
        <w:pStyle w:val="newncpi"/>
        <w:rPr>
          <w:sz w:val="30"/>
          <w:szCs w:val="30"/>
        </w:rPr>
      </w:pPr>
      <w:r w:rsidRPr="00E87603">
        <w:rPr>
          <w:sz w:val="30"/>
          <w:szCs w:val="30"/>
        </w:rPr>
        <w:t>инвалиды I и II группы;</w:t>
      </w:r>
    </w:p>
    <w:p w:rsidR="00E87603" w:rsidRPr="00E87603" w:rsidRDefault="00E87603">
      <w:pPr>
        <w:pStyle w:val="newncpi"/>
        <w:rPr>
          <w:sz w:val="30"/>
          <w:szCs w:val="30"/>
        </w:rPr>
      </w:pPr>
      <w:r w:rsidRPr="00E87603">
        <w:rPr>
          <w:sz w:val="30"/>
          <w:szCs w:val="30"/>
        </w:rPr>
        <w:t>ветераны, инвалиды и участники Великой Отечественной войны;</w:t>
      </w:r>
    </w:p>
    <w:p w:rsidR="00E87603" w:rsidRPr="00E87603" w:rsidRDefault="00E87603">
      <w:pPr>
        <w:pStyle w:val="newncpi"/>
        <w:rPr>
          <w:sz w:val="30"/>
          <w:szCs w:val="30"/>
        </w:rPr>
      </w:pPr>
      <w:r w:rsidRPr="00E87603">
        <w:rPr>
          <w:sz w:val="30"/>
          <w:szCs w:val="30"/>
        </w:rPr>
        <w:t>лица, воспитывающие детей-инвалидов;</w:t>
      </w:r>
    </w:p>
    <w:p w:rsidR="00E87603" w:rsidRPr="00E87603" w:rsidRDefault="00E87603">
      <w:pPr>
        <w:pStyle w:val="newncpi"/>
        <w:rPr>
          <w:sz w:val="30"/>
          <w:szCs w:val="30"/>
        </w:rPr>
      </w:pPr>
      <w:r w:rsidRPr="00E87603">
        <w:rPr>
          <w:sz w:val="30"/>
          <w:szCs w:val="30"/>
        </w:rPr>
        <w:t xml:space="preserve">пенсионеры, достигшие возраста, дающего право на пенсию по возрасту на общих основаниях, при отсутствии регистрации по месту их жительства трудоспособных лиц, за исключением военнослужащих срочной военной службы, граждан, направленных на альтернативную службу, а также лиц, </w:t>
      </w:r>
      <w:r w:rsidRPr="00E87603">
        <w:rPr>
          <w:sz w:val="30"/>
          <w:szCs w:val="30"/>
        </w:rPr>
        <w:lastRenderedPageBreak/>
        <w:t>отбывающих наказание в местах лишения свободы (при наличии подтверждающих документов);</w:t>
      </w:r>
    </w:p>
    <w:p w:rsidR="00E87603" w:rsidRPr="00E87603" w:rsidRDefault="00E87603">
      <w:pPr>
        <w:pStyle w:val="newncpi"/>
        <w:rPr>
          <w:sz w:val="30"/>
          <w:szCs w:val="30"/>
        </w:rPr>
      </w:pPr>
      <w:r w:rsidRPr="00E87603">
        <w:rPr>
          <w:sz w:val="30"/>
          <w:szCs w:val="30"/>
        </w:rPr>
        <w:t>лица, имеющие на иждивении троих и более детей в возрасте до 18 лет;</w:t>
      </w:r>
    </w:p>
    <w:p w:rsidR="00E87603" w:rsidRPr="00E87603" w:rsidRDefault="00E87603">
      <w:pPr>
        <w:pStyle w:val="newncpi"/>
        <w:rPr>
          <w:sz w:val="30"/>
          <w:szCs w:val="30"/>
        </w:rPr>
      </w:pPr>
      <w:r w:rsidRPr="00E87603">
        <w:rPr>
          <w:sz w:val="30"/>
          <w:szCs w:val="30"/>
        </w:rPr>
        <w:t>проживающие в одноквартирных, блокированных жилых домах.</w:t>
      </w:r>
    </w:p>
    <w:p w:rsidR="00E87603" w:rsidRPr="00E87603" w:rsidRDefault="00E87603">
      <w:pPr>
        <w:pStyle w:val="newncpi"/>
        <w:rPr>
          <w:sz w:val="30"/>
          <w:szCs w:val="30"/>
        </w:rPr>
      </w:pPr>
      <w:r w:rsidRPr="00E87603">
        <w:rPr>
          <w:sz w:val="30"/>
          <w:szCs w:val="30"/>
        </w:rPr>
        <w:t> </w:t>
      </w:r>
    </w:p>
    <w:tbl>
      <w:tblPr>
        <w:tblW w:w="5000" w:type="pct"/>
        <w:tblCellMar>
          <w:left w:w="0" w:type="dxa"/>
          <w:right w:w="0" w:type="dxa"/>
        </w:tblCellMar>
        <w:tblLook w:val="04A0" w:firstRow="1" w:lastRow="0" w:firstColumn="1" w:lastColumn="0" w:noHBand="0" w:noVBand="1"/>
      </w:tblPr>
      <w:tblGrid>
        <w:gridCol w:w="7441"/>
        <w:gridCol w:w="2480"/>
      </w:tblGrid>
      <w:tr w:rsidR="00E87603" w:rsidRPr="00E87603">
        <w:tc>
          <w:tcPr>
            <w:tcW w:w="3750" w:type="pct"/>
            <w:tcMar>
              <w:top w:w="0" w:type="dxa"/>
              <w:left w:w="6" w:type="dxa"/>
              <w:bottom w:w="0" w:type="dxa"/>
              <w:right w:w="6" w:type="dxa"/>
            </w:tcMar>
            <w:hideMark/>
          </w:tcPr>
          <w:p w:rsidR="00E87603" w:rsidRPr="00E87603" w:rsidRDefault="00E87603">
            <w:pPr>
              <w:pStyle w:val="newncpi"/>
              <w:rPr>
                <w:sz w:val="30"/>
                <w:szCs w:val="30"/>
              </w:rPr>
            </w:pPr>
            <w:r w:rsidRPr="00E87603">
              <w:rPr>
                <w:sz w:val="30"/>
                <w:szCs w:val="30"/>
              </w:rPr>
              <w:t> </w:t>
            </w:r>
          </w:p>
        </w:tc>
        <w:tc>
          <w:tcPr>
            <w:tcW w:w="1250" w:type="pct"/>
            <w:tcMar>
              <w:top w:w="0" w:type="dxa"/>
              <w:left w:w="6" w:type="dxa"/>
              <w:bottom w:w="0" w:type="dxa"/>
              <w:right w:w="6" w:type="dxa"/>
            </w:tcMar>
            <w:hideMark/>
          </w:tcPr>
          <w:p w:rsidR="00E87603" w:rsidRPr="00E87603" w:rsidRDefault="00E87603">
            <w:pPr>
              <w:pStyle w:val="capu1"/>
              <w:rPr>
                <w:sz w:val="30"/>
                <w:szCs w:val="30"/>
              </w:rPr>
            </w:pPr>
            <w:r w:rsidRPr="00E87603">
              <w:rPr>
                <w:sz w:val="30"/>
                <w:szCs w:val="30"/>
              </w:rPr>
              <w:t>УТВЕРЖДЕНО</w:t>
            </w:r>
          </w:p>
          <w:p w:rsidR="00E87603" w:rsidRPr="00E87603" w:rsidRDefault="00E87603">
            <w:pPr>
              <w:pStyle w:val="cap1"/>
              <w:rPr>
                <w:sz w:val="30"/>
                <w:szCs w:val="30"/>
              </w:rPr>
            </w:pPr>
            <w:r w:rsidRPr="00E87603">
              <w:rPr>
                <w:sz w:val="30"/>
                <w:szCs w:val="30"/>
              </w:rPr>
              <w:t xml:space="preserve">Решение </w:t>
            </w:r>
            <w:r w:rsidRPr="00E87603">
              <w:rPr>
                <w:sz w:val="30"/>
                <w:szCs w:val="30"/>
              </w:rPr>
              <w:br/>
              <w:t>Витебского районного</w:t>
            </w:r>
            <w:r w:rsidRPr="00E87603">
              <w:rPr>
                <w:sz w:val="30"/>
                <w:szCs w:val="30"/>
              </w:rPr>
              <w:br/>
              <w:t>Совета депутатов</w:t>
            </w:r>
          </w:p>
          <w:p w:rsidR="00E87603" w:rsidRPr="00E87603" w:rsidRDefault="00E87603">
            <w:pPr>
              <w:pStyle w:val="cap1"/>
              <w:rPr>
                <w:sz w:val="30"/>
                <w:szCs w:val="30"/>
              </w:rPr>
            </w:pPr>
            <w:r w:rsidRPr="00E87603">
              <w:rPr>
                <w:sz w:val="30"/>
                <w:szCs w:val="30"/>
              </w:rPr>
              <w:t>29.12.2015 № 87</w:t>
            </w:r>
          </w:p>
        </w:tc>
      </w:tr>
    </w:tbl>
    <w:p w:rsidR="00E87603" w:rsidRPr="00E87603" w:rsidRDefault="00E87603">
      <w:pPr>
        <w:pStyle w:val="titleu"/>
        <w:rPr>
          <w:sz w:val="30"/>
          <w:szCs w:val="30"/>
        </w:rPr>
      </w:pPr>
      <w:r w:rsidRPr="00E87603">
        <w:rPr>
          <w:sz w:val="30"/>
          <w:szCs w:val="30"/>
        </w:rPr>
        <w:t>ИНСТРУКЦИЯ</w:t>
      </w:r>
      <w:r w:rsidRPr="00E87603">
        <w:rPr>
          <w:sz w:val="30"/>
          <w:szCs w:val="30"/>
        </w:rPr>
        <w:br/>
        <w:t>о сборе с заготовителей</w:t>
      </w:r>
    </w:p>
    <w:p w:rsidR="00E87603" w:rsidRPr="00E87603" w:rsidRDefault="00E87603">
      <w:pPr>
        <w:pStyle w:val="point"/>
        <w:rPr>
          <w:sz w:val="30"/>
          <w:szCs w:val="30"/>
        </w:rPr>
      </w:pPr>
      <w:r w:rsidRPr="00E87603">
        <w:rPr>
          <w:sz w:val="30"/>
          <w:szCs w:val="30"/>
        </w:rPr>
        <w:t>1. Инструкция о сборе с заготовителей разработана в соответствии с Налоговым кодексом Республики Беларусь и определяет порядок исчисления и уплаты сбора с заготовителей.</w:t>
      </w:r>
    </w:p>
    <w:p w:rsidR="00E87603" w:rsidRPr="00E87603" w:rsidRDefault="00E87603">
      <w:pPr>
        <w:pStyle w:val="point"/>
        <w:rPr>
          <w:sz w:val="30"/>
          <w:szCs w:val="30"/>
        </w:rPr>
      </w:pPr>
      <w:r w:rsidRPr="00E87603">
        <w:rPr>
          <w:sz w:val="30"/>
          <w:szCs w:val="30"/>
        </w:rPr>
        <w:t>2. Плательщиками сбора с заготовителей (далее – плательщики) признаются организации и индивидуальные предприниматели.</w:t>
      </w:r>
    </w:p>
    <w:p w:rsidR="00E87603" w:rsidRPr="00E87603" w:rsidRDefault="00E87603">
      <w:pPr>
        <w:pStyle w:val="point"/>
        <w:rPr>
          <w:sz w:val="30"/>
          <w:szCs w:val="30"/>
        </w:rPr>
      </w:pPr>
      <w:r w:rsidRPr="00E87603">
        <w:rPr>
          <w:sz w:val="30"/>
          <w:szCs w:val="30"/>
        </w:rPr>
        <w:t>3. Объектом обложения сбором с заготовителей признается осуществление промысловой заготовки (закупки) дикорастущих растений (их частей), грибов, технического и лекарственного сырья растительного происхождения в целях их промышленной переработки или реализации (далее – дикорастущая продукция), за исключением их заготовки, при которой плательщиком внесена плата за побочное лесное пользование либо применено освобождение от указанной платы.</w:t>
      </w:r>
    </w:p>
    <w:p w:rsidR="00E87603" w:rsidRPr="00E87603" w:rsidRDefault="00E87603">
      <w:pPr>
        <w:pStyle w:val="point"/>
        <w:rPr>
          <w:sz w:val="30"/>
          <w:szCs w:val="30"/>
        </w:rPr>
      </w:pPr>
      <w:r w:rsidRPr="00E87603">
        <w:rPr>
          <w:sz w:val="30"/>
          <w:szCs w:val="30"/>
        </w:rPr>
        <w:t>4. Налоговая база сбора с заготовителей определяется как стоимость объема заготовки (закупки), определенная исходя из заготовительных (закупочных) цен.</w:t>
      </w:r>
    </w:p>
    <w:p w:rsidR="00E87603" w:rsidRPr="00E87603" w:rsidRDefault="00E87603">
      <w:pPr>
        <w:pStyle w:val="point"/>
        <w:rPr>
          <w:sz w:val="30"/>
          <w:szCs w:val="30"/>
        </w:rPr>
      </w:pPr>
      <w:r w:rsidRPr="00E87603">
        <w:rPr>
          <w:sz w:val="30"/>
          <w:szCs w:val="30"/>
        </w:rPr>
        <w:t>5. Ставки сбора с заготовителей устанавливаются в следующих размерах:</w:t>
      </w:r>
    </w:p>
    <w:p w:rsidR="00E87603" w:rsidRPr="00E87603" w:rsidRDefault="00E87603">
      <w:pPr>
        <w:pStyle w:val="newncpi"/>
        <w:rPr>
          <w:sz w:val="30"/>
          <w:szCs w:val="30"/>
        </w:rPr>
      </w:pPr>
      <w:r w:rsidRPr="00E87603">
        <w:rPr>
          <w:sz w:val="30"/>
          <w:szCs w:val="30"/>
        </w:rPr>
        <w:t>для плательщиков, за исключением указанных в абзаце третьем настоящего пункта, – 5 процентов;</w:t>
      </w:r>
    </w:p>
    <w:p w:rsidR="00E87603" w:rsidRPr="00E87603" w:rsidRDefault="00E87603">
      <w:pPr>
        <w:pStyle w:val="newncpi"/>
        <w:rPr>
          <w:sz w:val="30"/>
          <w:szCs w:val="30"/>
        </w:rPr>
      </w:pPr>
      <w:r w:rsidRPr="00E87603">
        <w:rPr>
          <w:sz w:val="30"/>
          <w:szCs w:val="30"/>
        </w:rPr>
        <w:t>для резидентов Китайско-Белорусского индустриального парка по истечении 10 календарных лет, следующих за годом их регистрации в качестве резидента, в течение следующих 10 календарных лет – 2,5 процента.</w:t>
      </w:r>
    </w:p>
    <w:p w:rsidR="00E87603" w:rsidRPr="00E87603" w:rsidRDefault="00E87603">
      <w:pPr>
        <w:pStyle w:val="point"/>
        <w:rPr>
          <w:sz w:val="30"/>
          <w:szCs w:val="30"/>
        </w:rPr>
      </w:pPr>
      <w:r w:rsidRPr="00E87603">
        <w:rPr>
          <w:sz w:val="30"/>
          <w:szCs w:val="30"/>
        </w:rPr>
        <w:t>6. Налоговым периодом сбора с заготовителей признается календарный квартал.</w:t>
      </w:r>
    </w:p>
    <w:p w:rsidR="00E87603" w:rsidRPr="00E87603" w:rsidRDefault="00E87603">
      <w:pPr>
        <w:pStyle w:val="point"/>
        <w:rPr>
          <w:sz w:val="30"/>
          <w:szCs w:val="30"/>
        </w:rPr>
      </w:pPr>
      <w:r w:rsidRPr="00E87603">
        <w:rPr>
          <w:sz w:val="30"/>
          <w:szCs w:val="30"/>
        </w:rPr>
        <w:t>7. Сумма сбора с заготовителей определяется как произведение налоговой базы и ставки сбора с заготовителей.</w:t>
      </w:r>
    </w:p>
    <w:p w:rsidR="00E87603" w:rsidRPr="00E87603" w:rsidRDefault="00E87603">
      <w:pPr>
        <w:pStyle w:val="point"/>
        <w:rPr>
          <w:sz w:val="30"/>
          <w:szCs w:val="30"/>
        </w:rPr>
      </w:pPr>
      <w:r w:rsidRPr="00E87603">
        <w:rPr>
          <w:sz w:val="30"/>
          <w:szCs w:val="30"/>
        </w:rPr>
        <w:t>8. Плательщики ежеквартально представляют в налоговые органы налоговую декларацию (расчет) не позднее 20-го числа месяца, следующего за истекшим налоговым периодом.</w:t>
      </w:r>
    </w:p>
    <w:p w:rsidR="00E87603" w:rsidRPr="00E87603" w:rsidRDefault="00E87603">
      <w:pPr>
        <w:pStyle w:val="point"/>
        <w:rPr>
          <w:sz w:val="30"/>
          <w:szCs w:val="30"/>
        </w:rPr>
      </w:pPr>
      <w:r w:rsidRPr="00E87603">
        <w:rPr>
          <w:sz w:val="30"/>
          <w:szCs w:val="30"/>
        </w:rPr>
        <w:t xml:space="preserve">9. Уплата сбора с заготовителей производится ежеквартально на счета по учету средств районного и (или) сельских бюджетов по месту осуществления </w:t>
      </w:r>
      <w:r w:rsidRPr="00E87603">
        <w:rPr>
          <w:sz w:val="30"/>
          <w:szCs w:val="30"/>
        </w:rPr>
        <w:lastRenderedPageBreak/>
        <w:t>промысловой заготовки (закупки) дикорастущей продукции не позднее 22-го числа месяца, следующего за истекшим налоговым периодом.</w:t>
      </w:r>
    </w:p>
    <w:p w:rsidR="00E87603" w:rsidRPr="00E87603" w:rsidRDefault="00E87603">
      <w:pPr>
        <w:pStyle w:val="point"/>
        <w:rPr>
          <w:sz w:val="30"/>
          <w:szCs w:val="30"/>
        </w:rPr>
      </w:pPr>
      <w:r w:rsidRPr="00E87603">
        <w:rPr>
          <w:sz w:val="30"/>
          <w:szCs w:val="30"/>
        </w:rPr>
        <w:t>10. От сбора с заготовителей освобождаются:</w:t>
      </w:r>
    </w:p>
    <w:p w:rsidR="00E87603" w:rsidRPr="00E87603" w:rsidRDefault="00E87603">
      <w:pPr>
        <w:pStyle w:val="newncpi"/>
        <w:rPr>
          <w:sz w:val="30"/>
          <w:szCs w:val="30"/>
        </w:rPr>
      </w:pPr>
      <w:r w:rsidRPr="00E87603">
        <w:rPr>
          <w:sz w:val="30"/>
          <w:szCs w:val="30"/>
        </w:rPr>
        <w:t>организации и индивидуальные предприниматели, осуществляющие закупку лекарственного сырья растительного происхождения в целях промышленного производства или аптечного изготовления лекарственных средств на территории Республики Беларусь;</w:t>
      </w:r>
    </w:p>
    <w:p w:rsidR="00E87603" w:rsidRPr="00E87603" w:rsidRDefault="00E87603">
      <w:pPr>
        <w:pStyle w:val="newncpi"/>
        <w:rPr>
          <w:sz w:val="30"/>
          <w:szCs w:val="30"/>
        </w:rPr>
      </w:pPr>
      <w:r w:rsidRPr="00E87603">
        <w:rPr>
          <w:sz w:val="30"/>
          <w:szCs w:val="30"/>
        </w:rPr>
        <w:t>организации и индивидуальные предприниматели, осуществляющие закупку и переработку дикорастущей продукции в объемах, используемых для переработки, за исключением производства замороженной дикорастущей продукции;</w:t>
      </w:r>
    </w:p>
    <w:p w:rsidR="00E87603" w:rsidRPr="00E87603" w:rsidRDefault="00E87603">
      <w:pPr>
        <w:pStyle w:val="newncpi"/>
        <w:rPr>
          <w:sz w:val="30"/>
          <w:szCs w:val="30"/>
        </w:rPr>
      </w:pPr>
      <w:r w:rsidRPr="00E87603">
        <w:rPr>
          <w:sz w:val="30"/>
          <w:szCs w:val="30"/>
        </w:rPr>
        <w:t>организации, привлекающие к работам студенческие отряды;</w:t>
      </w:r>
    </w:p>
    <w:p w:rsidR="00E87603" w:rsidRPr="00E87603" w:rsidRDefault="00E87603">
      <w:pPr>
        <w:pStyle w:val="newncpi"/>
        <w:rPr>
          <w:sz w:val="30"/>
          <w:szCs w:val="30"/>
        </w:rPr>
      </w:pPr>
      <w:r w:rsidRPr="00E87603">
        <w:rPr>
          <w:sz w:val="30"/>
          <w:szCs w:val="30"/>
        </w:rPr>
        <w:t>совместная белорусско-китайская компания по развитию Китайско-Белорусского индустриального парка до 1 января 2032 г.;</w:t>
      </w:r>
    </w:p>
    <w:p w:rsidR="00E87603" w:rsidRPr="00E87603" w:rsidRDefault="00E87603">
      <w:pPr>
        <w:pStyle w:val="newncpi"/>
        <w:rPr>
          <w:sz w:val="30"/>
          <w:szCs w:val="30"/>
        </w:rPr>
      </w:pPr>
      <w:r w:rsidRPr="00E87603">
        <w:rPr>
          <w:sz w:val="30"/>
          <w:szCs w:val="30"/>
        </w:rPr>
        <w:t>резиденты Китайско-Белорусского индустриального парка со дня их регистрации в качестве резидента в течение следующих 10 календарных лет.</w:t>
      </w:r>
    </w:p>
    <w:p w:rsidR="00E87603" w:rsidRPr="00E87603" w:rsidRDefault="00E87603">
      <w:pPr>
        <w:pStyle w:val="point"/>
        <w:rPr>
          <w:sz w:val="30"/>
          <w:szCs w:val="30"/>
        </w:rPr>
      </w:pPr>
      <w:r w:rsidRPr="00E87603">
        <w:rPr>
          <w:sz w:val="30"/>
          <w:szCs w:val="30"/>
        </w:rPr>
        <w:t>11. Суммы сбора с заготовителей включаются организациями в затраты по производству и реализации товаров (работ, услуг), имущественных прав, а индивидуальными предпринимателями в расходы, учитываемые при исчислении подоходного налога с физических лиц.</w:t>
      </w:r>
    </w:p>
    <w:p w:rsidR="00E87603" w:rsidRPr="00E87603" w:rsidRDefault="00E87603">
      <w:pPr>
        <w:pStyle w:val="newncpi"/>
        <w:rPr>
          <w:sz w:val="30"/>
          <w:szCs w:val="30"/>
        </w:rPr>
      </w:pPr>
      <w:r w:rsidRPr="00E87603">
        <w:rPr>
          <w:sz w:val="30"/>
          <w:szCs w:val="30"/>
        </w:rPr>
        <w:t> </w:t>
      </w:r>
    </w:p>
    <w:p w:rsidR="00F12C76" w:rsidRPr="00E87603" w:rsidRDefault="00F12C76" w:rsidP="006C0B77">
      <w:pPr>
        <w:spacing w:after="0"/>
        <w:ind w:firstLine="709"/>
        <w:jc w:val="both"/>
        <w:rPr>
          <w:sz w:val="30"/>
          <w:szCs w:val="30"/>
        </w:rPr>
      </w:pPr>
    </w:p>
    <w:sectPr w:rsidR="00F12C76" w:rsidRPr="00E87603" w:rsidSect="00E87603">
      <w:pgSz w:w="11906" w:h="16838" w:code="9"/>
      <w:pgMar w:top="567" w:right="567" w:bottom="567"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603"/>
    <w:rsid w:val="006C0B77"/>
    <w:rsid w:val="008242FF"/>
    <w:rsid w:val="00870751"/>
    <w:rsid w:val="00922C48"/>
    <w:rsid w:val="00B915B7"/>
    <w:rsid w:val="00E87603"/>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2438A5-1D94-4364-B0FE-91820A3C6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E87603"/>
    <w:pPr>
      <w:spacing w:before="240" w:after="240"/>
      <w:ind w:right="2268"/>
    </w:pPr>
    <w:rPr>
      <w:rFonts w:eastAsia="Times New Roman" w:cs="Times New Roman"/>
      <w:b/>
      <w:bCs/>
      <w:szCs w:val="28"/>
      <w:lang w:eastAsia="ru-RU"/>
    </w:rPr>
  </w:style>
  <w:style w:type="paragraph" w:customStyle="1" w:styleId="titleu">
    <w:name w:val="titleu"/>
    <w:basedOn w:val="a"/>
    <w:rsid w:val="00E87603"/>
    <w:pPr>
      <w:spacing w:before="240" w:after="240"/>
    </w:pPr>
    <w:rPr>
      <w:rFonts w:eastAsiaTheme="minorEastAsia" w:cs="Times New Roman"/>
      <w:b/>
      <w:bCs/>
      <w:sz w:val="24"/>
      <w:szCs w:val="24"/>
      <w:lang w:eastAsia="ru-RU"/>
    </w:rPr>
  </w:style>
  <w:style w:type="paragraph" w:customStyle="1" w:styleId="point">
    <w:name w:val="point"/>
    <w:basedOn w:val="a"/>
    <w:rsid w:val="00E87603"/>
    <w:pPr>
      <w:spacing w:after="0"/>
      <w:ind w:firstLine="567"/>
      <w:jc w:val="both"/>
    </w:pPr>
    <w:rPr>
      <w:rFonts w:eastAsiaTheme="minorEastAsia" w:cs="Times New Roman"/>
      <w:sz w:val="24"/>
      <w:szCs w:val="24"/>
      <w:lang w:eastAsia="ru-RU"/>
    </w:rPr>
  </w:style>
  <w:style w:type="paragraph" w:customStyle="1" w:styleId="preamble">
    <w:name w:val="preamble"/>
    <w:basedOn w:val="a"/>
    <w:rsid w:val="00E87603"/>
    <w:pPr>
      <w:spacing w:after="0"/>
      <w:ind w:firstLine="567"/>
      <w:jc w:val="both"/>
    </w:pPr>
    <w:rPr>
      <w:rFonts w:eastAsiaTheme="minorEastAsia" w:cs="Times New Roman"/>
      <w:sz w:val="24"/>
      <w:szCs w:val="24"/>
      <w:lang w:eastAsia="ru-RU"/>
    </w:rPr>
  </w:style>
  <w:style w:type="paragraph" w:customStyle="1" w:styleId="changeadd">
    <w:name w:val="changeadd"/>
    <w:basedOn w:val="a"/>
    <w:rsid w:val="00E87603"/>
    <w:pPr>
      <w:spacing w:after="0"/>
      <w:ind w:left="1134" w:firstLine="567"/>
      <w:jc w:val="both"/>
    </w:pPr>
    <w:rPr>
      <w:rFonts w:eastAsiaTheme="minorEastAsia" w:cs="Times New Roman"/>
      <w:sz w:val="24"/>
      <w:szCs w:val="24"/>
      <w:lang w:eastAsia="ru-RU"/>
    </w:rPr>
  </w:style>
  <w:style w:type="paragraph" w:customStyle="1" w:styleId="changei">
    <w:name w:val="changei"/>
    <w:basedOn w:val="a"/>
    <w:rsid w:val="00E87603"/>
    <w:pPr>
      <w:spacing w:after="0"/>
      <w:ind w:left="1021"/>
    </w:pPr>
    <w:rPr>
      <w:rFonts w:eastAsiaTheme="minorEastAsia" w:cs="Times New Roman"/>
      <w:sz w:val="24"/>
      <w:szCs w:val="24"/>
      <w:lang w:eastAsia="ru-RU"/>
    </w:rPr>
  </w:style>
  <w:style w:type="paragraph" w:customStyle="1" w:styleId="cap1">
    <w:name w:val="cap1"/>
    <w:basedOn w:val="a"/>
    <w:rsid w:val="00E87603"/>
    <w:pPr>
      <w:spacing w:after="0"/>
    </w:pPr>
    <w:rPr>
      <w:rFonts w:eastAsiaTheme="minorEastAsia" w:cs="Times New Roman"/>
      <w:sz w:val="22"/>
      <w:lang w:eastAsia="ru-RU"/>
    </w:rPr>
  </w:style>
  <w:style w:type="paragraph" w:customStyle="1" w:styleId="capu1">
    <w:name w:val="capu1"/>
    <w:basedOn w:val="a"/>
    <w:rsid w:val="00E87603"/>
    <w:pPr>
      <w:spacing w:after="120"/>
    </w:pPr>
    <w:rPr>
      <w:rFonts w:eastAsiaTheme="minorEastAsia" w:cs="Times New Roman"/>
      <w:sz w:val="22"/>
      <w:lang w:eastAsia="ru-RU"/>
    </w:rPr>
  </w:style>
  <w:style w:type="paragraph" w:customStyle="1" w:styleId="newncpi">
    <w:name w:val="newncpi"/>
    <w:basedOn w:val="a"/>
    <w:rsid w:val="00E87603"/>
    <w:pPr>
      <w:spacing w:after="0"/>
      <w:ind w:firstLine="567"/>
      <w:jc w:val="both"/>
    </w:pPr>
    <w:rPr>
      <w:rFonts w:eastAsiaTheme="minorEastAsia" w:cs="Times New Roman"/>
      <w:sz w:val="24"/>
      <w:szCs w:val="24"/>
      <w:lang w:eastAsia="ru-RU"/>
    </w:rPr>
  </w:style>
  <w:style w:type="paragraph" w:customStyle="1" w:styleId="newncpi0">
    <w:name w:val="newncpi0"/>
    <w:basedOn w:val="a"/>
    <w:rsid w:val="00E87603"/>
    <w:pPr>
      <w:spacing w:after="0"/>
      <w:jc w:val="both"/>
    </w:pPr>
    <w:rPr>
      <w:rFonts w:eastAsiaTheme="minorEastAsia" w:cs="Times New Roman"/>
      <w:sz w:val="24"/>
      <w:szCs w:val="24"/>
      <w:lang w:eastAsia="ru-RU"/>
    </w:rPr>
  </w:style>
  <w:style w:type="character" w:customStyle="1" w:styleId="name">
    <w:name w:val="name"/>
    <w:basedOn w:val="a0"/>
    <w:rsid w:val="00E87603"/>
    <w:rPr>
      <w:rFonts w:ascii="Times New Roman" w:hAnsi="Times New Roman" w:cs="Times New Roman" w:hint="default"/>
      <w:caps/>
    </w:rPr>
  </w:style>
  <w:style w:type="character" w:customStyle="1" w:styleId="promulgator">
    <w:name w:val="promulgator"/>
    <w:basedOn w:val="a0"/>
    <w:rsid w:val="00E87603"/>
    <w:rPr>
      <w:rFonts w:ascii="Times New Roman" w:hAnsi="Times New Roman" w:cs="Times New Roman" w:hint="default"/>
      <w:caps/>
    </w:rPr>
  </w:style>
  <w:style w:type="character" w:customStyle="1" w:styleId="datepr">
    <w:name w:val="datepr"/>
    <w:basedOn w:val="a0"/>
    <w:rsid w:val="00E87603"/>
    <w:rPr>
      <w:rFonts w:ascii="Times New Roman" w:hAnsi="Times New Roman" w:cs="Times New Roman" w:hint="default"/>
    </w:rPr>
  </w:style>
  <w:style w:type="character" w:customStyle="1" w:styleId="number">
    <w:name w:val="number"/>
    <w:basedOn w:val="a0"/>
    <w:rsid w:val="00E87603"/>
    <w:rPr>
      <w:rFonts w:ascii="Times New Roman" w:hAnsi="Times New Roman" w:cs="Times New Roman" w:hint="default"/>
    </w:rPr>
  </w:style>
  <w:style w:type="character" w:customStyle="1" w:styleId="post">
    <w:name w:val="post"/>
    <w:basedOn w:val="a0"/>
    <w:rsid w:val="00E87603"/>
    <w:rPr>
      <w:rFonts w:ascii="Times New Roman" w:hAnsi="Times New Roman" w:cs="Times New Roman" w:hint="default"/>
      <w:b/>
      <w:bCs/>
      <w:sz w:val="22"/>
      <w:szCs w:val="22"/>
    </w:rPr>
  </w:style>
  <w:style w:type="character" w:customStyle="1" w:styleId="pers">
    <w:name w:val="pers"/>
    <w:basedOn w:val="a0"/>
    <w:rsid w:val="00E87603"/>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1126</Words>
  <Characters>6421</Characters>
  <Application>Microsoft Office Word</Application>
  <DocSecurity>0</DocSecurity>
  <Lines>53</Lines>
  <Paragraphs>15</Paragraphs>
  <ScaleCrop>false</ScaleCrop>
  <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Главный специалист</dc:creator>
  <cp:keywords/>
  <dc:description/>
  <cp:lastModifiedBy>Главный специалист</cp:lastModifiedBy>
  <cp:revision>2</cp:revision>
  <dcterms:created xsi:type="dcterms:W3CDTF">2022-03-29T12:21:00Z</dcterms:created>
  <dcterms:modified xsi:type="dcterms:W3CDTF">2022-03-29T12:23:00Z</dcterms:modified>
</cp:coreProperties>
</file>